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52" w:rsidRPr="00051939" w:rsidRDefault="00C82152" w:rsidP="003D64F2">
      <w:pPr>
        <w:spacing w:after="0" w:line="240" w:lineRule="auto"/>
        <w:jc w:val="center"/>
        <w:rPr>
          <w:rStyle w:val="tlid-translation"/>
          <w:rFonts w:ascii="Sylfaen" w:hAnsi="Sylfaen"/>
          <w:sz w:val="20"/>
          <w:szCs w:val="20"/>
        </w:rPr>
      </w:pPr>
    </w:p>
    <w:p w:rsidR="00C82152" w:rsidRDefault="00C82152" w:rsidP="003D64F2">
      <w:pPr>
        <w:spacing w:after="0" w:line="240" w:lineRule="auto"/>
        <w:jc w:val="center"/>
        <w:rPr>
          <w:rStyle w:val="tlid-translation"/>
          <w:rFonts w:ascii="Sylfaen" w:hAnsi="Sylfaen"/>
          <w:sz w:val="20"/>
          <w:szCs w:val="20"/>
          <w:lang w:val="en"/>
        </w:rPr>
      </w:pPr>
    </w:p>
    <w:p w:rsidR="001D2C72" w:rsidRPr="00C82152" w:rsidRDefault="00B1434E" w:rsidP="003D64F2">
      <w:pPr>
        <w:spacing w:after="0" w:line="240" w:lineRule="auto"/>
        <w:jc w:val="center"/>
        <w:rPr>
          <w:rStyle w:val="tlid-translation"/>
          <w:b/>
          <w:sz w:val="20"/>
          <w:szCs w:val="20"/>
          <w:lang w:val="en"/>
        </w:rPr>
      </w:pPr>
      <w:r w:rsidRPr="00C82152">
        <w:rPr>
          <w:rStyle w:val="tlid-translation"/>
          <w:rFonts w:ascii="Sylfaen" w:hAnsi="Sylfaen"/>
          <w:b/>
          <w:sz w:val="20"/>
          <w:szCs w:val="20"/>
          <w:lang w:val="en"/>
        </w:rPr>
        <w:t xml:space="preserve">Information </w:t>
      </w:r>
      <w:r w:rsidR="00C82152" w:rsidRPr="00C82152">
        <w:rPr>
          <w:rStyle w:val="tlid-translation"/>
          <w:rFonts w:ascii="Sylfaen" w:hAnsi="Sylfaen"/>
          <w:b/>
          <w:sz w:val="20"/>
          <w:szCs w:val="20"/>
          <w:lang w:val="en"/>
        </w:rPr>
        <w:t>f</w:t>
      </w:r>
      <w:r w:rsidRPr="00C82152">
        <w:rPr>
          <w:rStyle w:val="tlid-translation"/>
          <w:rFonts w:ascii="Sylfaen" w:hAnsi="Sylfaen"/>
          <w:b/>
          <w:sz w:val="20"/>
          <w:szCs w:val="20"/>
          <w:lang w:val="en"/>
        </w:rPr>
        <w:t xml:space="preserve">or drivers </w:t>
      </w:r>
      <w:r w:rsidR="002D3CD0">
        <w:rPr>
          <w:rStyle w:val="tlid-translation"/>
          <w:rFonts w:ascii="Sylfaen" w:hAnsi="Sylfaen"/>
          <w:b/>
          <w:sz w:val="20"/>
          <w:szCs w:val="20"/>
          <w:lang w:val="en"/>
        </w:rPr>
        <w:t xml:space="preserve">of </w:t>
      </w:r>
      <w:r w:rsidR="002D3CD0" w:rsidRPr="00133609">
        <w:rPr>
          <w:rStyle w:val="tlid-translation"/>
          <w:rFonts w:ascii="Sylfaen" w:hAnsi="Sylfaen"/>
          <w:b/>
          <w:sz w:val="20"/>
          <w:szCs w:val="20"/>
          <w:lang w:val="en"/>
        </w:rPr>
        <w:t xml:space="preserve">freight vehicles </w:t>
      </w:r>
      <w:r w:rsidRPr="00C82152">
        <w:rPr>
          <w:rStyle w:val="tlid-translation"/>
          <w:rFonts w:ascii="Sylfaen" w:hAnsi="Sylfaen"/>
          <w:b/>
          <w:sz w:val="20"/>
          <w:szCs w:val="20"/>
          <w:lang w:val="en"/>
        </w:rPr>
        <w:t>registered in a foreign country</w:t>
      </w:r>
    </w:p>
    <w:p w:rsidR="008108A6" w:rsidRPr="00B86846" w:rsidRDefault="008108A6" w:rsidP="003D64F2">
      <w:pPr>
        <w:spacing w:after="0" w:line="240" w:lineRule="auto"/>
        <w:jc w:val="center"/>
        <w:rPr>
          <w:rStyle w:val="tlid-translation"/>
          <w:sz w:val="20"/>
          <w:szCs w:val="20"/>
          <w:lang w:val="en"/>
        </w:rPr>
      </w:pPr>
    </w:p>
    <w:p w:rsidR="00D0305F" w:rsidRPr="00C82152" w:rsidRDefault="001B2DA3" w:rsidP="00730618">
      <w:pPr>
        <w:tabs>
          <w:tab w:val="left" w:pos="720"/>
          <w:tab w:val="left" w:pos="1065"/>
        </w:tabs>
        <w:spacing w:after="0" w:line="240" w:lineRule="auto"/>
        <w:jc w:val="both"/>
        <w:rPr>
          <w:rStyle w:val="tlid-translation"/>
          <w:rFonts w:ascii="Sylfaen" w:hAnsi="Sylfaen"/>
          <w:sz w:val="20"/>
          <w:szCs w:val="20"/>
          <w:lang w:val="en"/>
        </w:rPr>
      </w:pPr>
      <w:r w:rsidRPr="00B86846">
        <w:rPr>
          <w:rStyle w:val="tlid-translation"/>
          <w:sz w:val="20"/>
          <w:szCs w:val="20"/>
          <w:lang w:val="en"/>
        </w:rPr>
        <w:tab/>
      </w:r>
      <w:r w:rsidR="002D3CD0">
        <w:rPr>
          <w:rStyle w:val="tlid-translation"/>
          <w:rFonts w:ascii="Sylfaen" w:hAnsi="Sylfaen"/>
          <w:sz w:val="20"/>
          <w:szCs w:val="20"/>
          <w:lang w:val="en"/>
        </w:rPr>
        <w:t>F</w:t>
      </w:r>
      <w:r w:rsidR="00B1434E"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reight vehicles </w:t>
      </w:r>
      <w:r w:rsidR="002D3CD0" w:rsidRPr="00C82152">
        <w:rPr>
          <w:rStyle w:val="tlid-translation"/>
          <w:rFonts w:ascii="Sylfaen" w:hAnsi="Sylfaen"/>
          <w:b/>
          <w:sz w:val="20"/>
          <w:szCs w:val="20"/>
          <w:lang w:val="en"/>
        </w:rPr>
        <w:t>registered in a foreign country</w:t>
      </w:r>
      <w:r w:rsidR="002D3CD0"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 </w:t>
      </w:r>
      <w:r w:rsidR="002D3CD0">
        <w:rPr>
          <w:rStyle w:val="tlid-translation"/>
          <w:rFonts w:ascii="Sylfaen" w:hAnsi="Sylfaen"/>
          <w:sz w:val="20"/>
          <w:szCs w:val="20"/>
          <w:lang w:val="en"/>
        </w:rPr>
        <w:t>shall move</w:t>
      </w:r>
      <w:r w:rsidR="002D3CD0"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 </w:t>
      </w:r>
      <w:r w:rsidR="002D3CD0">
        <w:rPr>
          <w:rStyle w:val="tlid-translation"/>
          <w:rFonts w:ascii="Sylfaen" w:hAnsi="Sylfaen"/>
          <w:sz w:val="20"/>
          <w:szCs w:val="20"/>
          <w:lang w:val="en"/>
        </w:rPr>
        <w:t>through</w:t>
      </w:r>
      <w:r w:rsidR="002D3CD0"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 </w:t>
      </w:r>
      <w:r w:rsidR="00B1434E" w:rsidRPr="00B86846">
        <w:rPr>
          <w:rStyle w:val="tlid-translation"/>
          <w:rFonts w:ascii="Sylfaen" w:hAnsi="Sylfaen"/>
          <w:sz w:val="20"/>
          <w:szCs w:val="20"/>
          <w:lang w:val="en"/>
        </w:rPr>
        <w:t>the territory of Georgia</w:t>
      </w:r>
      <w:r w:rsidR="00B1434E" w:rsidRPr="00B86846">
        <w:rPr>
          <w:rStyle w:val="tlid-translation"/>
          <w:sz w:val="20"/>
          <w:szCs w:val="20"/>
          <w:lang w:val="en"/>
        </w:rPr>
        <w:t xml:space="preserve"> </w:t>
      </w:r>
      <w:r w:rsidR="00B1434E"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with following conditions: </w:t>
      </w:r>
    </w:p>
    <w:p w:rsidR="001B2DA3" w:rsidRPr="00C82152" w:rsidRDefault="007A6DFD" w:rsidP="00730618">
      <w:pPr>
        <w:pStyle w:val="ListParagraph"/>
        <w:numPr>
          <w:ilvl w:val="0"/>
          <w:numId w:val="3"/>
        </w:numPr>
        <w:tabs>
          <w:tab w:val="left" w:pos="720"/>
          <w:tab w:val="left" w:pos="1260"/>
        </w:tabs>
        <w:spacing w:after="0" w:line="240" w:lineRule="auto"/>
        <w:ind w:left="0" w:firstLine="720"/>
        <w:jc w:val="both"/>
        <w:rPr>
          <w:rStyle w:val="tlid-translation"/>
          <w:sz w:val="20"/>
          <w:szCs w:val="20"/>
          <w:lang w:val="en"/>
        </w:rPr>
      </w:pPr>
      <w:r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After </w:t>
      </w:r>
      <w:r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completing the procedures at the customs checkpoint, means of transport </w:t>
      </w:r>
      <w:r w:rsidRPr="00C82152">
        <w:rPr>
          <w:rStyle w:val="tlid-translation"/>
          <w:rFonts w:ascii="Sylfaen" w:hAnsi="Sylfaen"/>
          <w:b/>
          <w:sz w:val="20"/>
          <w:szCs w:val="20"/>
          <w:lang w:val="en"/>
        </w:rPr>
        <w:t>sh</w:t>
      </w:r>
      <w:r w:rsidR="00424DFA">
        <w:rPr>
          <w:rStyle w:val="tlid-translation"/>
          <w:rFonts w:ascii="Sylfaen" w:hAnsi="Sylfaen"/>
          <w:b/>
          <w:sz w:val="20"/>
          <w:szCs w:val="20"/>
          <w:lang w:val="en"/>
        </w:rPr>
        <w:t>a</w:t>
      </w:r>
      <w:r w:rsidRPr="00C82152">
        <w:rPr>
          <w:rStyle w:val="tlid-translation"/>
          <w:rFonts w:ascii="Sylfaen" w:hAnsi="Sylfaen"/>
          <w:b/>
          <w:sz w:val="20"/>
          <w:szCs w:val="20"/>
          <w:lang w:val="en"/>
        </w:rPr>
        <w:t>ll move non-stop to a final destination</w:t>
      </w:r>
      <w:r w:rsidR="00C82152" w:rsidRPr="00C82152">
        <w:rPr>
          <w:rStyle w:val="tlid-translation"/>
          <w:rFonts w:ascii="Sylfaen" w:hAnsi="Sylfaen"/>
          <w:sz w:val="20"/>
          <w:szCs w:val="20"/>
          <w:lang w:val="en"/>
        </w:rPr>
        <w:t>. S</w:t>
      </w:r>
      <w:r w:rsidR="00E80A4B"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topping allowed </w:t>
      </w:r>
      <w:r w:rsidRPr="00C82152">
        <w:rPr>
          <w:rStyle w:val="tlid-translation"/>
          <w:rFonts w:ascii="Sylfaen" w:hAnsi="Sylfaen"/>
          <w:sz w:val="20"/>
          <w:szCs w:val="20"/>
          <w:lang w:val="en"/>
        </w:rPr>
        <w:t>only</w:t>
      </w:r>
      <w:r w:rsidR="00E80A4B"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 on specially designated areas </w:t>
      </w:r>
      <w:r w:rsidR="00424DFA">
        <w:rPr>
          <w:rStyle w:val="tlid-translation"/>
          <w:rFonts w:ascii="Sylfaen" w:hAnsi="Sylfaen"/>
          <w:sz w:val="20"/>
          <w:szCs w:val="20"/>
          <w:lang w:val="en"/>
        </w:rPr>
        <w:t xml:space="preserve">- </w:t>
      </w:r>
      <w:r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>STOP POINT</w:t>
      </w:r>
      <w:r w:rsidR="00E80A4B"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>s</w:t>
      </w:r>
      <w:r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, </w:t>
      </w:r>
      <w:r w:rsidR="00E80A4B"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 xml:space="preserve">places for </w:t>
      </w:r>
      <w:r w:rsidR="005967E6"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>purchasing</w:t>
      </w:r>
      <w:r w:rsidR="00BF487E" w:rsidRPr="00133609">
        <w:rPr>
          <w:rStyle w:val="tlid-translation"/>
          <w:rFonts w:ascii="Sylfaen" w:hAnsi="Sylfaen"/>
          <w:sz w:val="20"/>
          <w:szCs w:val="20"/>
          <w:u w:val="single"/>
          <w:lang w:val="ka-GE"/>
        </w:rPr>
        <w:t xml:space="preserve"> </w:t>
      </w:r>
      <w:r w:rsidR="0071222F" w:rsidRPr="00133609">
        <w:rPr>
          <w:rStyle w:val="tlid-translation"/>
          <w:rFonts w:ascii="Sylfaen" w:hAnsi="Sylfaen"/>
          <w:sz w:val="20"/>
          <w:szCs w:val="20"/>
          <w:u w:val="single"/>
        </w:rPr>
        <w:t>compulsory</w:t>
      </w:r>
      <w:r w:rsidR="0071222F"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 xml:space="preserve"> </w:t>
      </w:r>
      <w:r w:rsidR="00BF487E" w:rsidRPr="00133609">
        <w:rPr>
          <w:rStyle w:val="tlid-translation"/>
          <w:rFonts w:ascii="Sylfaen" w:hAnsi="Sylfaen"/>
          <w:sz w:val="20"/>
          <w:szCs w:val="20"/>
          <w:u w:val="single"/>
        </w:rPr>
        <w:t>civil</w:t>
      </w:r>
      <w:r w:rsidR="005967E6"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 xml:space="preserve"> liability</w:t>
      </w:r>
      <w:r w:rsidR="00BF487E"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 xml:space="preserve"> </w:t>
      </w:r>
      <w:r w:rsidR="00E80A4B"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>insurance policy</w:t>
      </w:r>
      <w:r w:rsidR="0071222F">
        <w:rPr>
          <w:rStyle w:val="tlid-translation"/>
          <w:rFonts w:ascii="Sylfaen" w:hAnsi="Sylfaen"/>
          <w:sz w:val="20"/>
          <w:szCs w:val="20"/>
          <w:lang w:val="en"/>
        </w:rPr>
        <w:t xml:space="preserve"> (</w:t>
      </w:r>
      <w:hyperlink r:id="rId8" w:history="1">
        <w:r w:rsidR="0071222F" w:rsidRPr="00133609">
          <w:rPr>
            <w:rStyle w:val="tlid-translation"/>
            <w:rFonts w:ascii="Sylfaen" w:hAnsi="Sylfaen"/>
            <w:sz w:val="20"/>
            <w:szCs w:val="20"/>
            <w:lang w:val="en"/>
          </w:rPr>
          <w:t>https://www.tpl.ge/en/salespoints</w:t>
        </w:r>
      </w:hyperlink>
      <w:r w:rsidR="0071222F">
        <w:rPr>
          <w:rStyle w:val="tlid-translation"/>
          <w:rFonts w:ascii="Sylfaen" w:hAnsi="Sylfaen"/>
          <w:sz w:val="20"/>
          <w:szCs w:val="20"/>
          <w:lang w:val="en"/>
        </w:rPr>
        <w:t>)</w:t>
      </w:r>
      <w:r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, and </w:t>
      </w:r>
      <w:r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>parking lots</w:t>
      </w:r>
      <w:r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 lo</w:t>
      </w:r>
      <w:r w:rsidR="00C82152"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cated in the vicinity </w:t>
      </w:r>
      <w:r w:rsidR="005967E6" w:rsidRPr="00C82152">
        <w:rPr>
          <w:rStyle w:val="tlid-translation"/>
          <w:rFonts w:ascii="Sylfaen" w:hAnsi="Sylfaen"/>
          <w:sz w:val="20"/>
          <w:szCs w:val="20"/>
          <w:lang w:val="en"/>
        </w:rPr>
        <w:t>of customs</w:t>
      </w:r>
      <w:r w:rsidR="00C82152"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 checkpoint</w:t>
      </w:r>
      <w:r w:rsidRPr="00C82152">
        <w:rPr>
          <w:rStyle w:val="tlid-translation"/>
          <w:rFonts w:ascii="Sylfaen" w:hAnsi="Sylfaen"/>
          <w:sz w:val="20"/>
          <w:szCs w:val="20"/>
          <w:lang w:val="en"/>
        </w:rPr>
        <w:t>;</w:t>
      </w:r>
      <w:r w:rsidR="00E80A4B"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 </w:t>
      </w:r>
    </w:p>
    <w:p w:rsidR="00B4540D" w:rsidRPr="00C82152" w:rsidRDefault="00B4540D" w:rsidP="00C82152">
      <w:pPr>
        <w:pStyle w:val="ListParagraph"/>
        <w:numPr>
          <w:ilvl w:val="0"/>
          <w:numId w:val="3"/>
        </w:numPr>
        <w:rPr>
          <w:rStyle w:val="tlid-translation"/>
          <w:sz w:val="20"/>
          <w:szCs w:val="20"/>
          <w:lang w:val="en"/>
        </w:rPr>
      </w:pPr>
      <w:r w:rsidRPr="00C82152">
        <w:rPr>
          <w:rStyle w:val="tlid-translation"/>
          <w:rFonts w:ascii="Sylfaen" w:hAnsi="Sylfaen"/>
          <w:sz w:val="20"/>
          <w:szCs w:val="20"/>
          <w:lang w:val="en"/>
        </w:rPr>
        <w:t>Specially designated STOP POINT areas will serve for trucks for refueling, paying the road fee, compulsory civil liability insurance policy of the owner of a motor vehicle</w:t>
      </w:r>
      <w:r w:rsidR="0071222F">
        <w:rPr>
          <w:rStyle w:val="tlid-translation"/>
          <w:rFonts w:ascii="Sylfaen" w:hAnsi="Sylfaen"/>
          <w:sz w:val="20"/>
          <w:szCs w:val="20"/>
          <w:lang w:val="en"/>
        </w:rPr>
        <w:t xml:space="preserve"> </w:t>
      </w:r>
      <w:r w:rsidRPr="00C82152">
        <w:rPr>
          <w:rStyle w:val="tlid-translation"/>
          <w:rFonts w:ascii="Sylfaen" w:hAnsi="Sylfaen"/>
          <w:sz w:val="20"/>
          <w:szCs w:val="20"/>
          <w:lang w:val="en"/>
        </w:rPr>
        <w:t>registered</w:t>
      </w:r>
      <w:r w:rsidR="0071222F">
        <w:rPr>
          <w:rStyle w:val="tlid-translation"/>
          <w:rFonts w:ascii="Sylfaen" w:hAnsi="Sylfaen"/>
          <w:sz w:val="20"/>
          <w:szCs w:val="20"/>
          <w:lang w:val="en"/>
        </w:rPr>
        <w:t xml:space="preserve"> in foreign countries</w:t>
      </w:r>
      <w:r w:rsidRPr="00C82152">
        <w:rPr>
          <w:rStyle w:val="tlid-translation"/>
          <w:rFonts w:ascii="Sylfaen" w:hAnsi="Sylfaen"/>
          <w:sz w:val="20"/>
          <w:szCs w:val="20"/>
          <w:lang w:val="en"/>
        </w:rPr>
        <w:t>. Availability to purchase personal necessities</w:t>
      </w:r>
      <w:r w:rsidR="001769C5">
        <w:rPr>
          <w:rStyle w:val="tlid-translation"/>
          <w:rFonts w:ascii="Sylfaen" w:hAnsi="Sylfaen"/>
          <w:sz w:val="20"/>
          <w:szCs w:val="20"/>
          <w:lang w:val="en"/>
        </w:rPr>
        <w:t>,</w:t>
      </w:r>
      <w:r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 food</w:t>
      </w:r>
      <w:r w:rsidR="0071222F">
        <w:rPr>
          <w:rStyle w:val="tlid-translation"/>
          <w:rFonts w:ascii="Sylfaen" w:hAnsi="Sylfaen"/>
          <w:sz w:val="20"/>
          <w:szCs w:val="20"/>
          <w:lang w:val="en"/>
        </w:rPr>
        <w:t xml:space="preserve">, WC </w:t>
      </w:r>
      <w:r w:rsidR="0071222F" w:rsidRPr="00C82152">
        <w:rPr>
          <w:rStyle w:val="tlid-translation"/>
          <w:rFonts w:ascii="Sylfaen" w:hAnsi="Sylfaen"/>
          <w:sz w:val="20"/>
          <w:szCs w:val="20"/>
          <w:lang w:val="en"/>
        </w:rPr>
        <w:t>and</w:t>
      </w:r>
      <w:r w:rsidR="0071222F">
        <w:rPr>
          <w:rStyle w:val="tlid-translation"/>
          <w:rFonts w:ascii="Sylfaen" w:hAnsi="Sylfaen"/>
          <w:sz w:val="20"/>
          <w:szCs w:val="20"/>
          <w:lang w:val="en"/>
        </w:rPr>
        <w:t xml:space="preserve"> etc.</w:t>
      </w:r>
    </w:p>
    <w:p w:rsidR="00B4540D" w:rsidRPr="00B86846" w:rsidRDefault="00B4540D" w:rsidP="00C82152">
      <w:pPr>
        <w:pStyle w:val="ListParagraph"/>
        <w:numPr>
          <w:ilvl w:val="0"/>
          <w:numId w:val="3"/>
        </w:numPr>
        <w:tabs>
          <w:tab w:val="left" w:pos="720"/>
          <w:tab w:val="left" w:pos="1260"/>
        </w:tabs>
        <w:spacing w:after="0" w:line="240" w:lineRule="auto"/>
        <w:jc w:val="both"/>
        <w:rPr>
          <w:rStyle w:val="tlid-translation"/>
          <w:sz w:val="20"/>
          <w:szCs w:val="20"/>
          <w:lang w:val="en"/>
        </w:rPr>
      </w:pPr>
      <w:r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In case of emergencies/ special needs (car </w:t>
      </w:r>
      <w:r w:rsidR="0099726A">
        <w:rPr>
          <w:rStyle w:val="tlid-translation"/>
          <w:rFonts w:ascii="Sylfaen" w:hAnsi="Sylfaen"/>
          <w:sz w:val="20"/>
          <w:szCs w:val="20"/>
          <w:lang w:val="en"/>
        </w:rPr>
        <w:t>accident</w:t>
      </w:r>
      <w:r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, health </w:t>
      </w:r>
      <w:r w:rsidR="0099726A">
        <w:rPr>
          <w:rStyle w:val="tlid-translation"/>
          <w:rFonts w:ascii="Sylfaen" w:hAnsi="Sylfaen"/>
          <w:sz w:val="20"/>
          <w:szCs w:val="20"/>
          <w:lang w:val="en"/>
        </w:rPr>
        <w:t>problems</w:t>
      </w:r>
      <w:r w:rsidRPr="00B86846">
        <w:rPr>
          <w:rStyle w:val="tlid-translation"/>
          <w:rFonts w:ascii="Sylfaen" w:hAnsi="Sylfaen"/>
          <w:sz w:val="20"/>
          <w:szCs w:val="20"/>
          <w:lang w:val="en"/>
        </w:rPr>
        <w:t>, etc.), the driver should contact the relevant services and should remain in the cab</w:t>
      </w:r>
      <w:r w:rsidR="0099726A">
        <w:rPr>
          <w:rStyle w:val="tlid-translation"/>
          <w:rFonts w:ascii="Sylfaen" w:hAnsi="Sylfaen"/>
          <w:sz w:val="20"/>
          <w:szCs w:val="20"/>
          <w:lang w:val="en"/>
        </w:rPr>
        <w:t>in of truck</w:t>
      </w:r>
      <w:r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 before </w:t>
      </w:r>
      <w:r w:rsidR="0099726A">
        <w:rPr>
          <w:rStyle w:val="tlid-translation"/>
          <w:rFonts w:ascii="Sylfaen" w:hAnsi="Sylfaen"/>
          <w:sz w:val="20"/>
          <w:szCs w:val="20"/>
          <w:lang w:val="en"/>
        </w:rPr>
        <w:t>the representatives of those services will get to the driver</w:t>
      </w:r>
      <w:r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. </w:t>
      </w:r>
      <w:r w:rsidR="00C82152">
        <w:rPr>
          <w:rStyle w:val="tlid-translation"/>
          <w:rFonts w:ascii="Sylfaen" w:hAnsi="Sylfaen"/>
          <w:sz w:val="20"/>
          <w:szCs w:val="20"/>
          <w:lang w:val="en"/>
        </w:rPr>
        <w:t>For these purposes driver sh</w:t>
      </w:r>
      <w:r w:rsidR="00424DFA">
        <w:rPr>
          <w:rStyle w:val="tlid-translation"/>
          <w:rFonts w:ascii="Sylfaen" w:hAnsi="Sylfaen"/>
          <w:sz w:val="20"/>
          <w:szCs w:val="20"/>
          <w:lang w:val="en"/>
        </w:rPr>
        <w:t>a</w:t>
      </w:r>
      <w:r w:rsidR="00C82152">
        <w:rPr>
          <w:rStyle w:val="tlid-translation"/>
          <w:rFonts w:ascii="Sylfaen" w:hAnsi="Sylfaen"/>
          <w:sz w:val="20"/>
          <w:szCs w:val="20"/>
          <w:lang w:val="en"/>
        </w:rPr>
        <w:t>ll</w:t>
      </w:r>
      <w:r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 call </w:t>
      </w:r>
      <w:r w:rsidR="005967E6"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the </w:t>
      </w:r>
      <w:r w:rsidR="005967E6" w:rsidRPr="00C82152">
        <w:rPr>
          <w:rStyle w:val="tlid-translation"/>
          <w:rFonts w:ascii="Sylfaen" w:hAnsi="Sylfaen"/>
          <w:sz w:val="20"/>
          <w:szCs w:val="20"/>
          <w:lang w:val="en"/>
        </w:rPr>
        <w:t>Emergency</w:t>
      </w:r>
      <w:r w:rsidR="00C82152" w:rsidRPr="00C82152">
        <w:rPr>
          <w:rStyle w:val="tlid-translation"/>
          <w:rFonts w:ascii="Sylfaen" w:hAnsi="Sylfaen"/>
          <w:sz w:val="20"/>
          <w:szCs w:val="20"/>
          <w:lang w:val="en"/>
        </w:rPr>
        <w:t xml:space="preserve"> and Operative Response Cente</w:t>
      </w:r>
      <w:r w:rsidR="00C82152">
        <w:rPr>
          <w:rStyle w:val="tlid-translation"/>
          <w:rFonts w:ascii="Sylfaen" w:hAnsi="Sylfaen"/>
          <w:sz w:val="20"/>
          <w:szCs w:val="20"/>
          <w:lang w:val="en"/>
        </w:rPr>
        <w:t>r</w:t>
      </w:r>
      <w:r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 at 112;</w:t>
      </w:r>
    </w:p>
    <w:p w:rsidR="00157DF1" w:rsidRPr="00B86846" w:rsidRDefault="00C41B90" w:rsidP="00C41B90">
      <w:pPr>
        <w:pStyle w:val="ListParagraph"/>
        <w:numPr>
          <w:ilvl w:val="0"/>
          <w:numId w:val="3"/>
        </w:numPr>
        <w:tabs>
          <w:tab w:val="left" w:pos="720"/>
          <w:tab w:val="left" w:pos="1260"/>
        </w:tabs>
        <w:spacing w:after="0" w:line="240" w:lineRule="auto"/>
        <w:jc w:val="both"/>
        <w:rPr>
          <w:rStyle w:val="tlid-translation"/>
          <w:sz w:val="20"/>
          <w:szCs w:val="20"/>
          <w:lang w:val="en"/>
        </w:rPr>
      </w:pPr>
      <w:r w:rsidRPr="00B86846">
        <w:rPr>
          <w:rStyle w:val="tlid-translation"/>
          <w:rFonts w:ascii="Sylfaen" w:hAnsi="Sylfaen"/>
          <w:sz w:val="20"/>
          <w:szCs w:val="20"/>
          <w:lang w:val="en"/>
        </w:rPr>
        <w:t>The truck should leave</w:t>
      </w:r>
      <w:r w:rsidR="0071222F">
        <w:rPr>
          <w:rStyle w:val="tlid-translation"/>
          <w:rFonts w:ascii="Sylfaen" w:hAnsi="Sylfaen"/>
          <w:sz w:val="20"/>
          <w:szCs w:val="20"/>
          <w:lang w:val="ka-GE"/>
        </w:rPr>
        <w:t xml:space="preserve"> </w:t>
      </w:r>
      <w:r w:rsidR="0071222F">
        <w:rPr>
          <w:rStyle w:val="tlid-translation"/>
          <w:rFonts w:ascii="Sylfaen" w:hAnsi="Sylfaen"/>
          <w:sz w:val="20"/>
          <w:szCs w:val="20"/>
        </w:rPr>
        <w:t>the</w:t>
      </w:r>
      <w:r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 territory </w:t>
      </w:r>
      <w:r w:rsidR="00C82152" w:rsidRPr="00B86846">
        <w:rPr>
          <w:rStyle w:val="tlid-translation"/>
          <w:rFonts w:ascii="Sylfaen" w:hAnsi="Sylfaen"/>
          <w:sz w:val="20"/>
          <w:szCs w:val="20"/>
          <w:lang w:val="en"/>
        </w:rPr>
        <w:t>of Georgia</w:t>
      </w:r>
      <w:r w:rsidRPr="00B86846">
        <w:rPr>
          <w:rStyle w:val="tlid-translation"/>
          <w:sz w:val="20"/>
          <w:szCs w:val="20"/>
          <w:lang w:val="en"/>
        </w:rPr>
        <w:t xml:space="preserve">: </w:t>
      </w:r>
    </w:p>
    <w:p w:rsidR="00C82152" w:rsidRDefault="00C82152" w:rsidP="00C41B90">
      <w:pPr>
        <w:pStyle w:val="ListParagraph"/>
        <w:numPr>
          <w:ilvl w:val="0"/>
          <w:numId w:val="8"/>
        </w:numPr>
        <w:rPr>
          <w:rStyle w:val="tlid-translation"/>
          <w:rFonts w:ascii="Sylfaen" w:hAnsi="Sylfaen"/>
          <w:sz w:val="20"/>
          <w:szCs w:val="20"/>
          <w:lang w:val="en"/>
        </w:rPr>
      </w:pPr>
      <w:r>
        <w:rPr>
          <w:rStyle w:val="tlid-translation"/>
          <w:rFonts w:ascii="Sylfaen" w:hAnsi="Sylfaen"/>
          <w:sz w:val="20"/>
          <w:szCs w:val="20"/>
          <w:lang w:val="en"/>
        </w:rPr>
        <w:t>I</w:t>
      </w:r>
      <w:r w:rsidR="00C41B90" w:rsidRPr="00B86846">
        <w:rPr>
          <w:rStyle w:val="tlid-translation"/>
          <w:rFonts w:ascii="Sylfaen" w:hAnsi="Sylfaen"/>
          <w:sz w:val="20"/>
          <w:szCs w:val="20"/>
          <w:lang w:val="en"/>
        </w:rPr>
        <w:t>n case of transit movement (except for the movements from/to customs check point "Kazbegi" ) transport means  sh</w:t>
      </w:r>
      <w:r w:rsidR="00424DFA">
        <w:rPr>
          <w:rStyle w:val="tlid-translation"/>
          <w:rFonts w:ascii="Sylfaen" w:hAnsi="Sylfaen"/>
          <w:sz w:val="20"/>
          <w:szCs w:val="20"/>
          <w:lang w:val="en"/>
        </w:rPr>
        <w:t>a</w:t>
      </w:r>
      <w:r w:rsidR="00C41B90"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ll leave the territory of Georgia within 24 hours since entering the </w:t>
      </w:r>
      <w:r w:rsidRPr="00B86846">
        <w:rPr>
          <w:rStyle w:val="tlid-translation"/>
          <w:rFonts w:ascii="Sylfaen" w:hAnsi="Sylfaen"/>
          <w:sz w:val="20"/>
          <w:szCs w:val="20"/>
          <w:lang w:val="en"/>
        </w:rPr>
        <w:t>country</w:t>
      </w:r>
      <w:r w:rsidR="00C41B90" w:rsidRPr="00B86846">
        <w:rPr>
          <w:rStyle w:val="tlid-translation"/>
          <w:rFonts w:ascii="Sylfaen" w:hAnsi="Sylfaen"/>
          <w:sz w:val="20"/>
          <w:szCs w:val="20"/>
          <w:lang w:val="en"/>
        </w:rPr>
        <w:t xml:space="preserve">; </w:t>
      </w:r>
    </w:p>
    <w:p w:rsidR="00051939" w:rsidRPr="00BC5C24" w:rsidRDefault="00051939" w:rsidP="00051939">
      <w:pPr>
        <w:pStyle w:val="ListParagraph"/>
        <w:numPr>
          <w:ilvl w:val="0"/>
          <w:numId w:val="8"/>
        </w:numPr>
        <w:rPr>
          <w:rStyle w:val="tlid-translation"/>
          <w:rFonts w:ascii="Sylfaen" w:hAnsi="Sylfaen"/>
          <w:sz w:val="20"/>
          <w:szCs w:val="20"/>
          <w:lang w:val="en"/>
        </w:rPr>
      </w:pPr>
      <w:r w:rsidRPr="00BC5C24">
        <w:rPr>
          <w:rStyle w:val="tlid-translation"/>
          <w:rFonts w:ascii="Sylfaen" w:hAnsi="Sylfaen"/>
          <w:sz w:val="20"/>
          <w:szCs w:val="20"/>
          <w:lang w:val="en"/>
        </w:rPr>
        <w:t>In case of transit via customs checkpoint "Kazbegi" - within 48 hours.</w:t>
      </w:r>
    </w:p>
    <w:p w:rsidR="00051939" w:rsidRPr="00BC5C24" w:rsidRDefault="00051939" w:rsidP="00051939">
      <w:pPr>
        <w:pStyle w:val="ListParagraph"/>
        <w:numPr>
          <w:ilvl w:val="0"/>
          <w:numId w:val="8"/>
        </w:numPr>
        <w:rPr>
          <w:rStyle w:val="tlid-translation"/>
          <w:rFonts w:ascii="Sylfaen" w:hAnsi="Sylfaen"/>
          <w:sz w:val="20"/>
          <w:szCs w:val="20"/>
          <w:lang w:val="en"/>
        </w:rPr>
      </w:pPr>
      <w:r w:rsidRPr="00BC5C24">
        <w:rPr>
          <w:rStyle w:val="tlid-translation"/>
          <w:rFonts w:ascii="Sylfaen" w:hAnsi="Sylfaen"/>
          <w:sz w:val="20"/>
          <w:szCs w:val="20"/>
        </w:rPr>
        <w:t xml:space="preserve">In other cases of movement of freight vehicles operated by foreign nationals – within 48 hours from entering the country; and within 7 (seven) calendar days from entering the country in cases when </w:t>
      </w:r>
      <w:r w:rsidRPr="00BC5C24">
        <w:rPr>
          <w:rStyle w:val="tlid-translation"/>
          <w:rFonts w:ascii="Sylfaen" w:hAnsi="Sylfaen"/>
          <w:sz w:val="20"/>
          <w:szCs w:val="20"/>
          <w:lang w:val="en"/>
        </w:rPr>
        <w:t xml:space="preserve">after unloading of the imported goods </w:t>
      </w:r>
      <w:r w:rsidRPr="00BC5C24">
        <w:rPr>
          <w:rStyle w:val="tlid-translation"/>
          <w:rFonts w:ascii="Sylfaen" w:hAnsi="Sylfaen"/>
          <w:sz w:val="20"/>
          <w:szCs w:val="20"/>
        </w:rPr>
        <w:t>the freight vehicle is loaded for further purposes of export from Georgia or if entering and/or leaving the territory of Georgia is carried out using the ferry crossing;</w:t>
      </w:r>
    </w:p>
    <w:p w:rsidR="00051939" w:rsidRDefault="00051939" w:rsidP="00BC5C24">
      <w:pPr>
        <w:pStyle w:val="ListParagraph"/>
        <w:ind w:left="1800"/>
        <w:rPr>
          <w:rStyle w:val="tlid-translation"/>
          <w:rFonts w:ascii="Sylfaen" w:hAnsi="Sylfaen"/>
          <w:sz w:val="20"/>
          <w:szCs w:val="20"/>
          <w:lang w:val="en"/>
        </w:rPr>
      </w:pPr>
    </w:p>
    <w:p w:rsidR="00C41B90" w:rsidRPr="00133609" w:rsidRDefault="00C41B90" w:rsidP="00BC5C24">
      <w:pPr>
        <w:pStyle w:val="ListParagraph"/>
        <w:numPr>
          <w:ilvl w:val="0"/>
          <w:numId w:val="11"/>
        </w:numPr>
        <w:ind w:left="1080"/>
        <w:rPr>
          <w:rStyle w:val="tlid-translation"/>
          <w:rFonts w:ascii="Sylfaen" w:hAnsi="Sylfaen"/>
          <w:sz w:val="20"/>
          <w:szCs w:val="20"/>
          <w:u w:val="single"/>
          <w:lang w:val="en"/>
        </w:rPr>
      </w:pPr>
      <w:r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>The time periods required for carr</w:t>
      </w:r>
      <w:bookmarkStart w:id="0" w:name="_GoBack"/>
      <w:bookmarkEnd w:id="0"/>
      <w:r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 xml:space="preserve">ying out the customs formalities and stopping at </w:t>
      </w:r>
      <w:r w:rsidR="00781F00"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 xml:space="preserve">parking lots </w:t>
      </w:r>
      <w:r w:rsidR="00C82152"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 xml:space="preserve">located in the vicinity </w:t>
      </w:r>
      <w:r w:rsidR="005967E6"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>of Georgian</w:t>
      </w:r>
      <w:r w:rsidRPr="00133609">
        <w:rPr>
          <w:rStyle w:val="tlid-translation"/>
          <w:rFonts w:ascii="Sylfaen" w:hAnsi="Sylfaen"/>
          <w:sz w:val="20"/>
          <w:szCs w:val="20"/>
          <w:u w:val="single"/>
          <w:lang w:val="en"/>
        </w:rPr>
        <w:t xml:space="preserve"> State Customs Border Crossing Point shall not be counted.</w:t>
      </w:r>
    </w:p>
    <w:p w:rsidR="00D31F65" w:rsidRPr="00B86846" w:rsidRDefault="001769C5" w:rsidP="00C41B90">
      <w:pPr>
        <w:pStyle w:val="ListParagraph"/>
        <w:numPr>
          <w:ilvl w:val="0"/>
          <w:numId w:val="3"/>
        </w:numPr>
        <w:tabs>
          <w:tab w:val="left" w:pos="720"/>
          <w:tab w:val="left" w:pos="1260"/>
        </w:tabs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"/>
        </w:rPr>
        <w:t xml:space="preserve">It is </w:t>
      </w:r>
      <w:r w:rsidR="00781F00">
        <w:rPr>
          <w:rFonts w:ascii="Sylfaen" w:hAnsi="Sylfaen"/>
          <w:sz w:val="20"/>
          <w:szCs w:val="20"/>
          <w:lang w:val="en"/>
        </w:rPr>
        <w:t xml:space="preserve">strongly </w:t>
      </w:r>
      <w:r w:rsidR="00781F00" w:rsidRPr="00B86846">
        <w:rPr>
          <w:rFonts w:ascii="Sylfaen" w:hAnsi="Sylfaen"/>
          <w:sz w:val="20"/>
          <w:szCs w:val="20"/>
          <w:lang w:val="en"/>
        </w:rPr>
        <w:t>recommended</w:t>
      </w:r>
      <w:r w:rsidR="00C41B90" w:rsidRPr="00B86846">
        <w:rPr>
          <w:rFonts w:ascii="Sylfaen" w:hAnsi="Sylfaen"/>
          <w:sz w:val="20"/>
          <w:szCs w:val="20"/>
          <w:lang w:val="ka-GE"/>
        </w:rPr>
        <w:t xml:space="preserve"> </w:t>
      </w:r>
      <w:r w:rsidR="00C41B90" w:rsidRPr="00B86846">
        <w:rPr>
          <w:rFonts w:ascii="Sylfaen" w:hAnsi="Sylfaen"/>
          <w:sz w:val="20"/>
          <w:szCs w:val="20"/>
        </w:rPr>
        <w:t xml:space="preserve">to </w:t>
      </w:r>
      <w:r>
        <w:rPr>
          <w:rFonts w:ascii="Sylfaen" w:hAnsi="Sylfaen"/>
          <w:sz w:val="20"/>
          <w:szCs w:val="20"/>
        </w:rPr>
        <w:t xml:space="preserve">make only </w:t>
      </w:r>
      <w:r w:rsidR="00C41B90" w:rsidRPr="00B86846">
        <w:rPr>
          <w:rFonts w:ascii="Sylfaen" w:hAnsi="Sylfaen"/>
          <w:sz w:val="20"/>
          <w:szCs w:val="20"/>
          <w:lang w:val="ka-GE"/>
        </w:rPr>
        <w:t>non-cash</w:t>
      </w:r>
      <w:r>
        <w:rPr>
          <w:rFonts w:ascii="Sylfaen" w:hAnsi="Sylfaen"/>
          <w:sz w:val="20"/>
          <w:szCs w:val="20"/>
        </w:rPr>
        <w:t xml:space="preserve"> payment</w:t>
      </w:r>
      <w:r w:rsidR="00C41B90" w:rsidRPr="00B86846">
        <w:rPr>
          <w:rFonts w:ascii="Sylfaen" w:hAnsi="Sylfaen"/>
          <w:sz w:val="20"/>
          <w:szCs w:val="20"/>
          <w:lang w:val="ka-GE"/>
        </w:rPr>
        <w:t xml:space="preserve"> (online purchase, plastic card, etc.) and </w:t>
      </w:r>
      <w:r>
        <w:rPr>
          <w:rFonts w:ascii="Sylfaen" w:hAnsi="Sylfaen"/>
          <w:sz w:val="20"/>
          <w:szCs w:val="20"/>
        </w:rPr>
        <w:t>to use the</w:t>
      </w:r>
      <w:r w:rsidR="00C41B90" w:rsidRPr="00B86846">
        <w:rPr>
          <w:rFonts w:ascii="Sylfaen" w:hAnsi="Sylfaen"/>
          <w:sz w:val="20"/>
          <w:szCs w:val="20"/>
          <w:lang w:val="ka-GE"/>
        </w:rPr>
        <w:t xml:space="preserve"> personal protective equipment (medical mask, </w:t>
      </w:r>
      <w:r w:rsidR="00781F00">
        <w:rPr>
          <w:rFonts w:ascii="Sylfaen" w:hAnsi="Sylfaen"/>
          <w:sz w:val="20"/>
          <w:szCs w:val="20"/>
        </w:rPr>
        <w:t xml:space="preserve">gloves, and </w:t>
      </w:r>
      <w:r w:rsidR="00C41B90" w:rsidRPr="00B86846">
        <w:rPr>
          <w:rFonts w:ascii="Sylfaen" w:hAnsi="Sylfaen"/>
          <w:sz w:val="20"/>
          <w:szCs w:val="20"/>
          <w:lang w:val="ka-GE"/>
        </w:rPr>
        <w:t>etc</w:t>
      </w:r>
      <w:r w:rsidR="00C82152">
        <w:rPr>
          <w:rFonts w:ascii="Sylfaen" w:hAnsi="Sylfaen"/>
          <w:sz w:val="20"/>
          <w:szCs w:val="20"/>
        </w:rPr>
        <w:t>)</w:t>
      </w:r>
      <w:r>
        <w:rPr>
          <w:rFonts w:ascii="Sylfaen" w:hAnsi="Sylfaen"/>
          <w:sz w:val="20"/>
          <w:szCs w:val="20"/>
        </w:rPr>
        <w:t>.</w:t>
      </w:r>
    </w:p>
    <w:p w:rsidR="00C82152" w:rsidRPr="00C82152" w:rsidRDefault="00C82152" w:rsidP="00730618">
      <w:pPr>
        <w:tabs>
          <w:tab w:val="left" w:pos="720"/>
          <w:tab w:val="left" w:pos="1065"/>
        </w:tabs>
        <w:spacing w:after="0" w:line="240" w:lineRule="auto"/>
        <w:ind w:firstLine="810"/>
        <w:jc w:val="both"/>
        <w:rPr>
          <w:rFonts w:ascii="Sylfaen" w:hAnsi="Sylfaen"/>
          <w:b/>
          <w:color w:val="C00000"/>
          <w:sz w:val="20"/>
          <w:szCs w:val="20"/>
          <w:u w:val="single"/>
          <w:lang w:val="ka-GE"/>
        </w:rPr>
      </w:pPr>
    </w:p>
    <w:p w:rsidR="002C0914" w:rsidRPr="00B86846" w:rsidRDefault="00C41B90" w:rsidP="00730618">
      <w:pPr>
        <w:tabs>
          <w:tab w:val="left" w:pos="720"/>
          <w:tab w:val="left" w:pos="1065"/>
        </w:tabs>
        <w:spacing w:after="0" w:line="240" w:lineRule="auto"/>
        <w:ind w:firstLine="810"/>
        <w:jc w:val="both"/>
        <w:rPr>
          <w:rFonts w:ascii="Sylfaen" w:hAnsi="Sylfaen"/>
          <w:b/>
          <w:color w:val="C00000"/>
          <w:sz w:val="20"/>
          <w:szCs w:val="20"/>
          <w:u w:val="single"/>
          <w:lang w:val="ka-GE"/>
        </w:rPr>
      </w:pPr>
      <w:r w:rsidRPr="00B86846">
        <w:rPr>
          <w:rFonts w:ascii="Sylfaen" w:hAnsi="Sylfaen"/>
          <w:b/>
          <w:color w:val="C00000"/>
          <w:sz w:val="20"/>
          <w:szCs w:val="20"/>
          <w:u w:val="single"/>
        </w:rPr>
        <w:t>Note</w:t>
      </w:r>
      <w:r w:rsidR="002960CF" w:rsidRPr="00B86846">
        <w:rPr>
          <w:rFonts w:ascii="Sylfaen" w:hAnsi="Sylfaen"/>
          <w:b/>
          <w:color w:val="C00000"/>
          <w:sz w:val="20"/>
          <w:szCs w:val="20"/>
          <w:u w:val="single"/>
          <w:lang w:val="ka-GE"/>
        </w:rPr>
        <w:t>:</w:t>
      </w:r>
    </w:p>
    <w:p w:rsidR="00D3710F" w:rsidRPr="00B86846" w:rsidRDefault="00D3710F" w:rsidP="00730618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Sylfaen" w:hAnsi="Sylfaen"/>
          <w:b/>
          <w:color w:val="C00000"/>
          <w:sz w:val="20"/>
          <w:szCs w:val="20"/>
          <w:u w:val="single"/>
          <w:lang w:val="ka-GE"/>
        </w:rPr>
      </w:pPr>
      <w:r w:rsidRPr="00B86846">
        <w:rPr>
          <w:rFonts w:ascii="Sylfaen" w:hAnsi="Sylfaen"/>
          <w:sz w:val="20"/>
          <w:szCs w:val="20"/>
          <w:u w:val="single"/>
          <w:lang w:val="ka-GE"/>
        </w:rPr>
        <w:t>STOP POINT</w:t>
      </w:r>
      <w:r w:rsidR="00C41B90" w:rsidRPr="00B86846">
        <w:rPr>
          <w:rFonts w:ascii="Sylfaen" w:hAnsi="Sylfaen"/>
          <w:sz w:val="20"/>
          <w:szCs w:val="20"/>
          <w:u w:val="single"/>
        </w:rPr>
        <w:t xml:space="preserve"> located at</w:t>
      </w:r>
      <w:r w:rsidRPr="00B86846">
        <w:rPr>
          <w:rFonts w:ascii="Sylfaen" w:hAnsi="Sylfaen"/>
          <w:sz w:val="20"/>
          <w:szCs w:val="20"/>
          <w:u w:val="single"/>
          <w:lang w:val="ka-GE"/>
        </w:rPr>
        <w:t>:</w:t>
      </w:r>
    </w:p>
    <w:p w:rsidR="0086038C" w:rsidRPr="00B86846" w:rsidRDefault="00C41B90" w:rsidP="00C41B90">
      <w:pPr>
        <w:pStyle w:val="ListParagraph"/>
        <w:numPr>
          <w:ilvl w:val="0"/>
          <w:numId w:val="5"/>
        </w:numPr>
        <w:tabs>
          <w:tab w:val="left" w:pos="810"/>
          <w:tab w:val="left" w:pos="1065"/>
        </w:tabs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86846">
        <w:rPr>
          <w:rFonts w:ascii="Sylfaen" w:hAnsi="Sylfaen" w:cs="Sylfaen"/>
          <w:sz w:val="20"/>
          <w:szCs w:val="20"/>
        </w:rPr>
        <w:t>Urbnisi</w:t>
      </w:r>
      <w:r w:rsidR="002C0914" w:rsidRPr="00B86846">
        <w:rPr>
          <w:rFonts w:ascii="Sylfaen" w:hAnsi="Sylfaen"/>
          <w:sz w:val="20"/>
          <w:szCs w:val="20"/>
          <w:lang w:val="ka-GE"/>
        </w:rPr>
        <w:t>–</w:t>
      </w:r>
      <w:r w:rsidR="0086038C" w:rsidRPr="00B86846">
        <w:rPr>
          <w:rFonts w:ascii="Sylfaen" w:hAnsi="Sylfaen"/>
          <w:sz w:val="20"/>
          <w:szCs w:val="20"/>
          <w:lang w:val="ka-GE"/>
        </w:rPr>
        <w:t xml:space="preserve"> </w:t>
      </w:r>
      <w:r w:rsidRPr="00B86846">
        <w:rPr>
          <w:rFonts w:ascii="Sylfaen" w:hAnsi="Sylfaen"/>
          <w:sz w:val="20"/>
          <w:szCs w:val="20"/>
        </w:rPr>
        <w:t>Kareli districts</w:t>
      </w:r>
      <w:r w:rsidR="0086038C" w:rsidRPr="00B86846">
        <w:rPr>
          <w:rFonts w:ascii="Sylfaen" w:hAnsi="Sylfaen"/>
          <w:sz w:val="20"/>
          <w:szCs w:val="20"/>
          <w:lang w:val="ka-GE"/>
        </w:rPr>
        <w:t xml:space="preserve">, </w:t>
      </w:r>
      <w:r w:rsidRPr="00B86846">
        <w:rPr>
          <w:rFonts w:ascii="Sylfaen" w:hAnsi="Sylfaen"/>
          <w:sz w:val="20"/>
          <w:szCs w:val="20"/>
          <w:lang w:val="ka-GE"/>
        </w:rPr>
        <w:t>cadastral code</w:t>
      </w:r>
      <w:r w:rsidR="0086038C" w:rsidRPr="00B86846">
        <w:rPr>
          <w:rFonts w:ascii="Sylfaen" w:hAnsi="Sylfaen"/>
          <w:sz w:val="20"/>
          <w:szCs w:val="20"/>
          <w:lang w:val="ka-GE"/>
        </w:rPr>
        <w:t>: 68.16.45.054;</w:t>
      </w:r>
    </w:p>
    <w:p w:rsidR="002C0914" w:rsidRPr="00B86846" w:rsidRDefault="00C41B90" w:rsidP="00730618">
      <w:pPr>
        <w:pStyle w:val="ListParagraph"/>
        <w:numPr>
          <w:ilvl w:val="0"/>
          <w:numId w:val="5"/>
        </w:numPr>
        <w:tabs>
          <w:tab w:val="left" w:pos="810"/>
          <w:tab w:val="left" w:pos="1065"/>
        </w:tabs>
        <w:spacing w:after="0" w:line="240" w:lineRule="auto"/>
        <w:ind w:left="0" w:firstLine="1080"/>
        <w:jc w:val="both"/>
        <w:rPr>
          <w:rFonts w:ascii="Sylfaen" w:hAnsi="Sylfaen" w:cs="Sylfaen"/>
          <w:sz w:val="20"/>
          <w:szCs w:val="20"/>
          <w:lang w:val="ka-GE"/>
        </w:rPr>
      </w:pPr>
      <w:r w:rsidRPr="00B86846">
        <w:rPr>
          <w:rFonts w:ascii="Sylfaen" w:hAnsi="Sylfaen" w:cs="Sylfaen"/>
          <w:sz w:val="20"/>
          <w:szCs w:val="20"/>
        </w:rPr>
        <w:t>Terjola</w:t>
      </w:r>
      <w:r w:rsidR="002C0914" w:rsidRPr="00B86846">
        <w:rPr>
          <w:rFonts w:ascii="Sylfaen" w:hAnsi="Sylfaen" w:cs="Sylfaen"/>
          <w:sz w:val="20"/>
          <w:szCs w:val="20"/>
          <w:lang w:val="ka-GE"/>
        </w:rPr>
        <w:t>–</w:t>
      </w:r>
      <w:r w:rsidR="0086038C" w:rsidRPr="00B8684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86846">
        <w:rPr>
          <w:rFonts w:ascii="Sylfaen" w:hAnsi="Sylfaen" w:cs="Sylfaen"/>
          <w:sz w:val="20"/>
          <w:szCs w:val="20"/>
        </w:rPr>
        <w:t>Trejola district</w:t>
      </w:r>
      <w:r w:rsidR="0086038C" w:rsidRPr="00B86846">
        <w:rPr>
          <w:rFonts w:ascii="Sylfaen" w:hAnsi="Sylfaen" w:cs="Sylfaen"/>
          <w:sz w:val="20"/>
          <w:szCs w:val="20"/>
          <w:lang w:val="ka-GE"/>
        </w:rPr>
        <w:t>,</w:t>
      </w:r>
      <w:r w:rsidRPr="00B86846">
        <w:rPr>
          <w:rFonts w:ascii="Sylfaen" w:hAnsi="Sylfaen" w:cs="Sylfaen"/>
          <w:sz w:val="20"/>
          <w:szCs w:val="20"/>
          <w:lang w:val="ka-GE"/>
        </w:rPr>
        <w:t xml:space="preserve"> village Siktarva, </w:t>
      </w:r>
      <w:r w:rsidRPr="00B86846">
        <w:rPr>
          <w:rFonts w:ascii="Sylfaen" w:hAnsi="Sylfaen" w:cs="Sylfaen"/>
          <w:sz w:val="20"/>
          <w:szCs w:val="20"/>
        </w:rPr>
        <w:t>cadastral code</w:t>
      </w:r>
      <w:r w:rsidRPr="00B8684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86038C" w:rsidRPr="00B86846">
        <w:rPr>
          <w:rFonts w:ascii="Sylfaen" w:hAnsi="Sylfaen" w:cs="Sylfaen"/>
          <w:sz w:val="20"/>
          <w:szCs w:val="20"/>
          <w:lang w:val="ka-GE"/>
        </w:rPr>
        <w:t>: 33.08.38.224;</w:t>
      </w:r>
    </w:p>
    <w:p w:rsidR="002C0914" w:rsidRPr="00B86846" w:rsidRDefault="00C41B90" w:rsidP="00730618">
      <w:pPr>
        <w:pStyle w:val="ListParagraph"/>
        <w:numPr>
          <w:ilvl w:val="0"/>
          <w:numId w:val="5"/>
        </w:numPr>
        <w:tabs>
          <w:tab w:val="left" w:pos="810"/>
          <w:tab w:val="left" w:pos="1065"/>
        </w:tabs>
        <w:spacing w:after="0" w:line="240" w:lineRule="auto"/>
        <w:ind w:left="0" w:firstLine="1080"/>
        <w:jc w:val="both"/>
        <w:rPr>
          <w:rFonts w:ascii="Sylfaen" w:hAnsi="Sylfaen" w:cs="Sylfaen"/>
          <w:sz w:val="20"/>
          <w:szCs w:val="20"/>
          <w:lang w:val="ka-GE"/>
        </w:rPr>
      </w:pPr>
      <w:r w:rsidRPr="00B86846">
        <w:rPr>
          <w:rFonts w:ascii="Sylfaen" w:hAnsi="Sylfaen" w:cs="Sylfaen"/>
          <w:sz w:val="20"/>
          <w:szCs w:val="20"/>
          <w:lang w:val="ka-GE"/>
        </w:rPr>
        <w:t>Gori</w:t>
      </w:r>
      <w:r w:rsidR="0086038C" w:rsidRPr="00B8684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C0914" w:rsidRPr="00B86846">
        <w:rPr>
          <w:rFonts w:ascii="Sylfaen" w:hAnsi="Sylfaen" w:cs="Sylfaen"/>
          <w:sz w:val="20"/>
          <w:szCs w:val="20"/>
          <w:lang w:val="ka-GE"/>
        </w:rPr>
        <w:t>–</w:t>
      </w:r>
      <w:r w:rsidR="0086038C" w:rsidRPr="00B8684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86846">
        <w:rPr>
          <w:rFonts w:ascii="Sylfaen" w:hAnsi="Sylfaen" w:cs="Sylfaen"/>
          <w:sz w:val="20"/>
          <w:szCs w:val="20"/>
        </w:rPr>
        <w:t>Gori district</w:t>
      </w:r>
      <w:r w:rsidR="0086038C" w:rsidRPr="00B86846">
        <w:rPr>
          <w:rFonts w:ascii="Sylfaen" w:hAnsi="Sylfaen" w:cs="Sylfaen"/>
          <w:sz w:val="20"/>
          <w:szCs w:val="20"/>
          <w:lang w:val="ka-GE"/>
        </w:rPr>
        <w:t>,</w:t>
      </w:r>
      <w:r w:rsidRPr="00B86846">
        <w:rPr>
          <w:rFonts w:ascii="Sylfaen" w:hAnsi="Sylfaen" w:cs="Sylfaen"/>
          <w:sz w:val="20"/>
          <w:szCs w:val="20"/>
        </w:rPr>
        <w:t xml:space="preserve"> village Tiniskhidi, cadastral code</w:t>
      </w:r>
      <w:r w:rsidR="00AD28C8" w:rsidRPr="00B86846">
        <w:rPr>
          <w:rFonts w:ascii="Sylfaen" w:hAnsi="Sylfaen" w:cs="Sylfaen"/>
          <w:sz w:val="20"/>
          <w:szCs w:val="20"/>
          <w:lang w:val="ka-GE"/>
        </w:rPr>
        <w:t xml:space="preserve">: </w:t>
      </w:r>
      <w:r w:rsidR="0086038C" w:rsidRPr="00B86846">
        <w:rPr>
          <w:rFonts w:ascii="Sylfaen" w:hAnsi="Sylfaen" w:cs="Sylfaen"/>
          <w:sz w:val="20"/>
          <w:szCs w:val="20"/>
          <w:lang w:val="ka-GE"/>
        </w:rPr>
        <w:t>66.44.02.033;</w:t>
      </w:r>
    </w:p>
    <w:p w:rsidR="00AD28C8" w:rsidRDefault="00C41B90" w:rsidP="00730618">
      <w:pPr>
        <w:pStyle w:val="ListParagraph"/>
        <w:numPr>
          <w:ilvl w:val="0"/>
          <w:numId w:val="5"/>
        </w:numPr>
        <w:tabs>
          <w:tab w:val="left" w:pos="810"/>
          <w:tab w:val="left" w:pos="1065"/>
        </w:tabs>
        <w:spacing w:after="0" w:line="240" w:lineRule="auto"/>
        <w:ind w:left="0" w:firstLine="1080"/>
        <w:jc w:val="both"/>
        <w:rPr>
          <w:rFonts w:ascii="Sylfaen" w:hAnsi="Sylfaen"/>
          <w:sz w:val="20"/>
          <w:szCs w:val="20"/>
          <w:lang w:val="ka-GE"/>
        </w:rPr>
      </w:pPr>
      <w:r w:rsidRPr="00B86846">
        <w:rPr>
          <w:rFonts w:ascii="Sylfaen" w:hAnsi="Sylfaen" w:cs="Sylfaen"/>
          <w:sz w:val="20"/>
          <w:szCs w:val="20"/>
        </w:rPr>
        <w:t>Zestaponi</w:t>
      </w:r>
      <w:r w:rsidR="0086038C" w:rsidRPr="00B86846">
        <w:rPr>
          <w:rFonts w:ascii="Sylfaen" w:hAnsi="Sylfaen"/>
          <w:sz w:val="20"/>
          <w:szCs w:val="20"/>
          <w:lang w:val="ka-GE"/>
        </w:rPr>
        <w:t xml:space="preserve"> </w:t>
      </w:r>
      <w:r w:rsidR="002C0914" w:rsidRPr="00B86846">
        <w:rPr>
          <w:rFonts w:ascii="Sylfaen" w:hAnsi="Sylfaen"/>
          <w:sz w:val="20"/>
          <w:szCs w:val="20"/>
          <w:lang w:val="ka-GE"/>
        </w:rPr>
        <w:t>–</w:t>
      </w:r>
      <w:r w:rsidR="0086038C" w:rsidRPr="00B86846">
        <w:rPr>
          <w:rFonts w:ascii="Sylfaen" w:hAnsi="Sylfaen"/>
          <w:sz w:val="20"/>
          <w:szCs w:val="20"/>
          <w:lang w:val="ka-GE"/>
        </w:rPr>
        <w:t xml:space="preserve"> </w:t>
      </w:r>
      <w:r w:rsidRPr="00B86846">
        <w:rPr>
          <w:rFonts w:ascii="Sylfaen" w:hAnsi="Sylfaen"/>
          <w:sz w:val="20"/>
          <w:szCs w:val="20"/>
        </w:rPr>
        <w:t>Zestapoini district</w:t>
      </w:r>
      <w:r w:rsidR="0086038C" w:rsidRPr="00B86846">
        <w:rPr>
          <w:rFonts w:ascii="Sylfaen" w:hAnsi="Sylfaen"/>
          <w:sz w:val="20"/>
          <w:szCs w:val="20"/>
          <w:lang w:val="ka-GE"/>
        </w:rPr>
        <w:t>,</w:t>
      </w:r>
      <w:r w:rsidRPr="00B86846">
        <w:rPr>
          <w:rFonts w:ascii="Sylfaen" w:hAnsi="Sylfaen"/>
          <w:sz w:val="20"/>
          <w:szCs w:val="20"/>
        </w:rPr>
        <w:t xml:space="preserve"> village Argveta, cadastral code</w:t>
      </w:r>
      <w:r w:rsidR="0086038C" w:rsidRPr="00B86846">
        <w:rPr>
          <w:rFonts w:ascii="Sylfaen" w:hAnsi="Sylfaen"/>
          <w:sz w:val="20"/>
          <w:szCs w:val="20"/>
          <w:lang w:val="ka-GE"/>
        </w:rPr>
        <w:t>: 32.03.34.211</w:t>
      </w:r>
      <w:r w:rsidR="002C0914" w:rsidRPr="00B86846">
        <w:rPr>
          <w:rFonts w:ascii="Sylfaen" w:hAnsi="Sylfaen"/>
          <w:sz w:val="20"/>
          <w:szCs w:val="20"/>
          <w:lang w:val="ka-GE"/>
        </w:rPr>
        <w:t>.</w:t>
      </w:r>
    </w:p>
    <w:p w:rsidR="000D1B7B" w:rsidRPr="00BC5C24" w:rsidRDefault="005967E6" w:rsidP="00BC5C24">
      <w:pPr>
        <w:tabs>
          <w:tab w:val="left" w:pos="810"/>
          <w:tab w:val="left" w:pos="1065"/>
        </w:tabs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86846">
        <w:rPr>
          <w:rFonts w:ascii="Sylfaen" w:hAnsi="Sylfae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BD3A74" wp14:editId="5B782A63">
            <wp:simplePos x="0" y="0"/>
            <wp:positionH relativeFrom="margin">
              <wp:posOffset>-82229</wp:posOffset>
            </wp:positionH>
            <wp:positionV relativeFrom="page">
              <wp:posOffset>5541240</wp:posOffset>
            </wp:positionV>
            <wp:extent cx="6591300" cy="3241040"/>
            <wp:effectExtent l="0" t="0" r="0" b="0"/>
            <wp:wrapSquare wrapText="bothSides"/>
            <wp:docPr id="1" name="Picture 1" descr="C:\Users\anzor.ergeshidze\Desktop\r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zor.ergeshidze\Desktop\ru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B7B" w:rsidRPr="000D1B7B" w:rsidRDefault="000D1B7B" w:rsidP="00730618">
      <w:pPr>
        <w:pStyle w:val="ListParagraph"/>
        <w:numPr>
          <w:ilvl w:val="0"/>
          <w:numId w:val="6"/>
        </w:numPr>
        <w:tabs>
          <w:tab w:val="left" w:pos="1065"/>
          <w:tab w:val="left" w:pos="1170"/>
          <w:tab w:val="left" w:pos="1260"/>
        </w:tabs>
        <w:spacing w:after="0" w:line="240" w:lineRule="auto"/>
        <w:ind w:left="0" w:firstLine="810"/>
        <w:jc w:val="both"/>
        <w:rPr>
          <w:rFonts w:ascii="Sylfaen" w:hAnsi="Sylfaen"/>
          <w:sz w:val="20"/>
          <w:szCs w:val="20"/>
          <w:lang w:val="ka-GE"/>
        </w:rPr>
      </w:pPr>
      <w:r w:rsidRPr="000D1B7B">
        <w:rPr>
          <w:rFonts w:ascii="Sylfaen" w:hAnsi="Sylfaen"/>
          <w:sz w:val="20"/>
          <w:szCs w:val="20"/>
          <w:lang w:val="ka-GE"/>
        </w:rPr>
        <w:t xml:space="preserve">Violation of rules (vehicle without permission to leave, stopping in forbidden areas, violation of terms of movement, etc.), except when weather conditions or other external factors makes it difficult and / or impossible to </w:t>
      </w:r>
      <w:r w:rsidR="00C82152">
        <w:rPr>
          <w:rFonts w:ascii="Sylfaen" w:hAnsi="Sylfaen"/>
          <w:sz w:val="20"/>
          <w:szCs w:val="20"/>
        </w:rPr>
        <w:t>follow rules</w:t>
      </w:r>
      <w:r w:rsidRPr="000D1B7B">
        <w:rPr>
          <w:rFonts w:ascii="Sylfaen" w:hAnsi="Sylfaen"/>
          <w:sz w:val="20"/>
          <w:szCs w:val="20"/>
          <w:lang w:val="ka-GE"/>
        </w:rPr>
        <w:t>, the vehicle driver will be fined</w:t>
      </w:r>
      <w:r>
        <w:rPr>
          <w:rFonts w:ascii="Sylfaen" w:hAnsi="Sylfaen"/>
          <w:sz w:val="20"/>
          <w:szCs w:val="20"/>
        </w:rPr>
        <w:t xml:space="preserve"> with</w:t>
      </w:r>
      <w:r w:rsidRPr="000D1B7B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</w:rPr>
        <w:t>3000 GEL</w:t>
      </w:r>
      <w:r w:rsidRPr="000D1B7B">
        <w:rPr>
          <w:rFonts w:ascii="Sylfaen" w:hAnsi="Sylfaen"/>
          <w:sz w:val="20"/>
          <w:szCs w:val="20"/>
          <w:lang w:val="ka-GE"/>
        </w:rPr>
        <w:t xml:space="preserve"> for the violation of the State emergency regime in accordance with Presidential Decree №1 March 21, 2020, Article 8, and will be placed in 14-day quarantine, mean</w:t>
      </w:r>
      <w:r w:rsidR="00133609">
        <w:rPr>
          <w:rFonts w:ascii="Sylfaen" w:hAnsi="Sylfaen"/>
          <w:sz w:val="20"/>
          <w:szCs w:val="20"/>
        </w:rPr>
        <w:t>s of</w:t>
      </w:r>
      <w:r w:rsidRPr="000D1B7B">
        <w:rPr>
          <w:rFonts w:ascii="Sylfaen" w:hAnsi="Sylfaen"/>
          <w:sz w:val="20"/>
          <w:szCs w:val="20"/>
          <w:lang w:val="ka-GE"/>
        </w:rPr>
        <w:t xml:space="preserve"> </w:t>
      </w:r>
      <w:r w:rsidR="00133609" w:rsidRPr="000D1B7B">
        <w:rPr>
          <w:rFonts w:ascii="Sylfaen" w:hAnsi="Sylfaen"/>
          <w:sz w:val="20"/>
          <w:szCs w:val="20"/>
          <w:lang w:val="ka-GE"/>
        </w:rPr>
        <w:t xml:space="preserve">transport </w:t>
      </w:r>
      <w:r w:rsidRPr="000D1B7B">
        <w:rPr>
          <w:rFonts w:ascii="Sylfaen" w:hAnsi="Sylfaen"/>
          <w:sz w:val="20"/>
          <w:szCs w:val="20"/>
          <w:lang w:val="ka-GE"/>
        </w:rPr>
        <w:t>will be taken to the impound lot.</w:t>
      </w:r>
      <w:r w:rsidR="00C82152">
        <w:rPr>
          <w:rFonts w:ascii="Sylfaen" w:hAnsi="Sylfaen"/>
          <w:sz w:val="20"/>
          <w:szCs w:val="20"/>
        </w:rPr>
        <w:t xml:space="preserve"> </w:t>
      </w:r>
      <w:r w:rsidR="006C4222" w:rsidRPr="00B86846">
        <w:rPr>
          <w:rFonts w:ascii="Sylfaen" w:hAnsi="Sylfaen"/>
          <w:sz w:val="20"/>
          <w:szCs w:val="20"/>
          <w:u w:val="single"/>
          <w:lang w:val="ka-GE"/>
        </w:rPr>
        <w:t xml:space="preserve"> </w:t>
      </w:r>
    </w:p>
    <w:p w:rsidR="000D1B7B" w:rsidRPr="00B86846" w:rsidRDefault="000D1B7B">
      <w:pPr>
        <w:pStyle w:val="ListParagraph"/>
        <w:tabs>
          <w:tab w:val="left" w:pos="1065"/>
          <w:tab w:val="left" w:pos="1170"/>
          <w:tab w:val="left" w:pos="1260"/>
        </w:tabs>
        <w:spacing w:after="0" w:line="240" w:lineRule="auto"/>
        <w:ind w:left="1620"/>
        <w:jc w:val="both"/>
        <w:rPr>
          <w:rFonts w:ascii="Sylfaen" w:hAnsi="Sylfaen"/>
          <w:sz w:val="20"/>
          <w:szCs w:val="20"/>
          <w:lang w:val="ka-GE"/>
        </w:rPr>
      </w:pPr>
    </w:p>
    <w:sectPr w:rsidR="000D1B7B" w:rsidRPr="00B86846" w:rsidSect="00B86846">
      <w:pgSz w:w="11906" w:h="16838" w:code="9"/>
      <w:pgMar w:top="9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FF" w:rsidRDefault="00B561FF" w:rsidP="00A62B15">
      <w:pPr>
        <w:spacing w:after="0" w:line="240" w:lineRule="auto"/>
      </w:pPr>
      <w:r>
        <w:separator/>
      </w:r>
    </w:p>
  </w:endnote>
  <w:endnote w:type="continuationSeparator" w:id="0">
    <w:p w:rsidR="00B561FF" w:rsidRDefault="00B561FF" w:rsidP="00A6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FF" w:rsidRDefault="00B561FF" w:rsidP="00A62B15">
      <w:pPr>
        <w:spacing w:after="0" w:line="240" w:lineRule="auto"/>
      </w:pPr>
      <w:r>
        <w:separator/>
      </w:r>
    </w:p>
  </w:footnote>
  <w:footnote w:type="continuationSeparator" w:id="0">
    <w:p w:rsidR="00B561FF" w:rsidRDefault="00B561FF" w:rsidP="00A6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2311"/>
    <w:multiLevelType w:val="hybridMultilevel"/>
    <w:tmpl w:val="EA2E7B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4D5E8A"/>
    <w:multiLevelType w:val="hybridMultilevel"/>
    <w:tmpl w:val="3B267572"/>
    <w:lvl w:ilvl="0" w:tplc="1D72F166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1FE6"/>
    <w:multiLevelType w:val="hybridMultilevel"/>
    <w:tmpl w:val="C248EFC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DE47ADC"/>
    <w:multiLevelType w:val="hybridMultilevel"/>
    <w:tmpl w:val="4CE07B5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DBB20E3"/>
    <w:multiLevelType w:val="hybridMultilevel"/>
    <w:tmpl w:val="804A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E62B3"/>
    <w:multiLevelType w:val="hybridMultilevel"/>
    <w:tmpl w:val="F59C16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1DDB"/>
    <w:multiLevelType w:val="hybridMultilevel"/>
    <w:tmpl w:val="2E0E26F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C837A7"/>
    <w:multiLevelType w:val="hybridMultilevel"/>
    <w:tmpl w:val="5D4241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9E966EE"/>
    <w:multiLevelType w:val="hybridMultilevel"/>
    <w:tmpl w:val="FE246AD6"/>
    <w:lvl w:ilvl="0" w:tplc="F95255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AB5B32"/>
    <w:multiLevelType w:val="hybridMultilevel"/>
    <w:tmpl w:val="15CCA060"/>
    <w:lvl w:ilvl="0" w:tplc="E50818A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9E149D"/>
    <w:multiLevelType w:val="hybridMultilevel"/>
    <w:tmpl w:val="CCB61A9E"/>
    <w:lvl w:ilvl="0" w:tplc="951856F4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7"/>
    <w:rsid w:val="00027D2A"/>
    <w:rsid w:val="00044D3E"/>
    <w:rsid w:val="00051939"/>
    <w:rsid w:val="0005553F"/>
    <w:rsid w:val="000B255A"/>
    <w:rsid w:val="000D1B7B"/>
    <w:rsid w:val="000F0D54"/>
    <w:rsid w:val="00133609"/>
    <w:rsid w:val="00157DF1"/>
    <w:rsid w:val="001732E0"/>
    <w:rsid w:val="001769C5"/>
    <w:rsid w:val="00183AA2"/>
    <w:rsid w:val="001854E8"/>
    <w:rsid w:val="001A6FDC"/>
    <w:rsid w:val="001B1436"/>
    <w:rsid w:val="001B1525"/>
    <w:rsid w:val="001B2DA3"/>
    <w:rsid w:val="001B6482"/>
    <w:rsid w:val="001C6809"/>
    <w:rsid w:val="001D2C72"/>
    <w:rsid w:val="002169B3"/>
    <w:rsid w:val="0021775D"/>
    <w:rsid w:val="0023472D"/>
    <w:rsid w:val="002954CB"/>
    <w:rsid w:val="002960CF"/>
    <w:rsid w:val="002A5B4D"/>
    <w:rsid w:val="002B3225"/>
    <w:rsid w:val="002C0914"/>
    <w:rsid w:val="002C4A84"/>
    <w:rsid w:val="002D1A6D"/>
    <w:rsid w:val="002D3CD0"/>
    <w:rsid w:val="002F3FEC"/>
    <w:rsid w:val="003011E7"/>
    <w:rsid w:val="00321403"/>
    <w:rsid w:val="00323182"/>
    <w:rsid w:val="00323E81"/>
    <w:rsid w:val="00340394"/>
    <w:rsid w:val="00340EF4"/>
    <w:rsid w:val="0034301D"/>
    <w:rsid w:val="003478B0"/>
    <w:rsid w:val="0035582C"/>
    <w:rsid w:val="003D5715"/>
    <w:rsid w:val="003D64F2"/>
    <w:rsid w:val="00407872"/>
    <w:rsid w:val="00424DFA"/>
    <w:rsid w:val="004433D9"/>
    <w:rsid w:val="0045179E"/>
    <w:rsid w:val="00492C8D"/>
    <w:rsid w:val="004C6160"/>
    <w:rsid w:val="004C7C61"/>
    <w:rsid w:val="004D1619"/>
    <w:rsid w:val="004F3E04"/>
    <w:rsid w:val="004F47D0"/>
    <w:rsid w:val="00514683"/>
    <w:rsid w:val="0052116A"/>
    <w:rsid w:val="00533EA3"/>
    <w:rsid w:val="005507B4"/>
    <w:rsid w:val="00572D3A"/>
    <w:rsid w:val="00580C6C"/>
    <w:rsid w:val="005967E6"/>
    <w:rsid w:val="005A5ED1"/>
    <w:rsid w:val="005C390F"/>
    <w:rsid w:val="005C724C"/>
    <w:rsid w:val="005D4986"/>
    <w:rsid w:val="00635522"/>
    <w:rsid w:val="0065427A"/>
    <w:rsid w:val="00675D33"/>
    <w:rsid w:val="006761CB"/>
    <w:rsid w:val="0068327C"/>
    <w:rsid w:val="006B233A"/>
    <w:rsid w:val="006C4222"/>
    <w:rsid w:val="006D02F7"/>
    <w:rsid w:val="006D7401"/>
    <w:rsid w:val="006E6B6E"/>
    <w:rsid w:val="006F5CCD"/>
    <w:rsid w:val="00700537"/>
    <w:rsid w:val="0071222F"/>
    <w:rsid w:val="00720064"/>
    <w:rsid w:val="00730618"/>
    <w:rsid w:val="00743E83"/>
    <w:rsid w:val="00760281"/>
    <w:rsid w:val="00760F11"/>
    <w:rsid w:val="007732E9"/>
    <w:rsid w:val="007811F6"/>
    <w:rsid w:val="00781F00"/>
    <w:rsid w:val="0078306D"/>
    <w:rsid w:val="00783875"/>
    <w:rsid w:val="007A501A"/>
    <w:rsid w:val="007A6DFD"/>
    <w:rsid w:val="007B3667"/>
    <w:rsid w:val="007B4ADE"/>
    <w:rsid w:val="007C16B0"/>
    <w:rsid w:val="007F3E66"/>
    <w:rsid w:val="00806E48"/>
    <w:rsid w:val="008108A6"/>
    <w:rsid w:val="0082253E"/>
    <w:rsid w:val="0082508B"/>
    <w:rsid w:val="0083525B"/>
    <w:rsid w:val="0086038C"/>
    <w:rsid w:val="00861E47"/>
    <w:rsid w:val="00865A35"/>
    <w:rsid w:val="00870114"/>
    <w:rsid w:val="00884CBC"/>
    <w:rsid w:val="00890785"/>
    <w:rsid w:val="008B1176"/>
    <w:rsid w:val="008E6A25"/>
    <w:rsid w:val="008F02C0"/>
    <w:rsid w:val="00913812"/>
    <w:rsid w:val="00921DCD"/>
    <w:rsid w:val="009502C5"/>
    <w:rsid w:val="00956C01"/>
    <w:rsid w:val="00965E5C"/>
    <w:rsid w:val="00971522"/>
    <w:rsid w:val="009804AB"/>
    <w:rsid w:val="009833BB"/>
    <w:rsid w:val="0099726A"/>
    <w:rsid w:val="009A1CC7"/>
    <w:rsid w:val="009A558A"/>
    <w:rsid w:val="009B4D55"/>
    <w:rsid w:val="009C3ED4"/>
    <w:rsid w:val="009D1AC7"/>
    <w:rsid w:val="00A1151F"/>
    <w:rsid w:val="00A157AB"/>
    <w:rsid w:val="00A165C1"/>
    <w:rsid w:val="00A4596F"/>
    <w:rsid w:val="00A5025D"/>
    <w:rsid w:val="00A62B15"/>
    <w:rsid w:val="00A729E9"/>
    <w:rsid w:val="00A82413"/>
    <w:rsid w:val="00AB2467"/>
    <w:rsid w:val="00AD28C8"/>
    <w:rsid w:val="00AD7095"/>
    <w:rsid w:val="00AE26CC"/>
    <w:rsid w:val="00B135F9"/>
    <w:rsid w:val="00B1434E"/>
    <w:rsid w:val="00B17B3E"/>
    <w:rsid w:val="00B36359"/>
    <w:rsid w:val="00B37D5E"/>
    <w:rsid w:val="00B41207"/>
    <w:rsid w:val="00B44ADF"/>
    <w:rsid w:val="00B4540D"/>
    <w:rsid w:val="00B561FF"/>
    <w:rsid w:val="00B65031"/>
    <w:rsid w:val="00B66C16"/>
    <w:rsid w:val="00B7073F"/>
    <w:rsid w:val="00B77D1E"/>
    <w:rsid w:val="00B86846"/>
    <w:rsid w:val="00B86F28"/>
    <w:rsid w:val="00BC5C24"/>
    <w:rsid w:val="00BD76A0"/>
    <w:rsid w:val="00BE4856"/>
    <w:rsid w:val="00BF487E"/>
    <w:rsid w:val="00BF61D6"/>
    <w:rsid w:val="00C15B5B"/>
    <w:rsid w:val="00C41B90"/>
    <w:rsid w:val="00C55D42"/>
    <w:rsid w:val="00C741DA"/>
    <w:rsid w:val="00C82152"/>
    <w:rsid w:val="00C8521A"/>
    <w:rsid w:val="00CA3D2C"/>
    <w:rsid w:val="00CC0C1A"/>
    <w:rsid w:val="00CC4FDD"/>
    <w:rsid w:val="00CC6F8C"/>
    <w:rsid w:val="00CE75AD"/>
    <w:rsid w:val="00D022F5"/>
    <w:rsid w:val="00D0305F"/>
    <w:rsid w:val="00D15074"/>
    <w:rsid w:val="00D31034"/>
    <w:rsid w:val="00D31F65"/>
    <w:rsid w:val="00D3710F"/>
    <w:rsid w:val="00D416B8"/>
    <w:rsid w:val="00D5015F"/>
    <w:rsid w:val="00D86306"/>
    <w:rsid w:val="00D8710E"/>
    <w:rsid w:val="00DA7C77"/>
    <w:rsid w:val="00DC77C3"/>
    <w:rsid w:val="00DD250F"/>
    <w:rsid w:val="00DD7D07"/>
    <w:rsid w:val="00DE5422"/>
    <w:rsid w:val="00DE5F42"/>
    <w:rsid w:val="00E358AF"/>
    <w:rsid w:val="00E50E68"/>
    <w:rsid w:val="00E80A4B"/>
    <w:rsid w:val="00E84F82"/>
    <w:rsid w:val="00E851D7"/>
    <w:rsid w:val="00EB1D96"/>
    <w:rsid w:val="00EB5DFF"/>
    <w:rsid w:val="00EC4ADD"/>
    <w:rsid w:val="00ED26FE"/>
    <w:rsid w:val="00ED3582"/>
    <w:rsid w:val="00EE1292"/>
    <w:rsid w:val="00F11B45"/>
    <w:rsid w:val="00F452DF"/>
    <w:rsid w:val="00F52331"/>
    <w:rsid w:val="00F72062"/>
    <w:rsid w:val="00F749C1"/>
    <w:rsid w:val="00F92E6B"/>
    <w:rsid w:val="00FD0016"/>
    <w:rsid w:val="00FE453B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ACCEF-7B05-4227-AE29-36150B2A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2DF"/>
    <w:pPr>
      <w:ind w:left="720"/>
      <w:contextualSpacing/>
    </w:pPr>
  </w:style>
  <w:style w:type="paragraph" w:styleId="NormalWeb">
    <w:name w:val="Normal (Web)"/>
    <w:basedOn w:val="Normal"/>
    <w:unhideWhenUsed/>
    <w:rsid w:val="00635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15"/>
  </w:style>
  <w:style w:type="paragraph" w:styleId="Footer">
    <w:name w:val="footer"/>
    <w:basedOn w:val="Normal"/>
    <w:link w:val="FooterChar"/>
    <w:uiPriority w:val="99"/>
    <w:unhideWhenUsed/>
    <w:rsid w:val="00A62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15"/>
  </w:style>
  <w:style w:type="paragraph" w:styleId="BalloonText">
    <w:name w:val="Balloon Text"/>
    <w:basedOn w:val="Normal"/>
    <w:link w:val="BalloonTextChar"/>
    <w:uiPriority w:val="99"/>
    <w:semiHidden/>
    <w:unhideWhenUsed/>
    <w:rsid w:val="0081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A6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B1434E"/>
  </w:style>
  <w:style w:type="character" w:styleId="CommentReference">
    <w:name w:val="annotation reference"/>
    <w:basedOn w:val="DefaultParagraphFont"/>
    <w:uiPriority w:val="99"/>
    <w:semiHidden/>
    <w:unhideWhenUsed/>
    <w:rsid w:val="00C4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B9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2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3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4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2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l.ge/en/salespoi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7117-B55C-4814-8F98-ECBD0527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Murachashvili</dc:creator>
  <cp:keywords/>
  <dc:description/>
  <cp:lastModifiedBy>Mary Chakvetadze</cp:lastModifiedBy>
  <cp:revision>2</cp:revision>
  <cp:lastPrinted>2020-04-01T07:00:00Z</cp:lastPrinted>
  <dcterms:created xsi:type="dcterms:W3CDTF">2020-04-27T12:08:00Z</dcterms:created>
  <dcterms:modified xsi:type="dcterms:W3CDTF">2020-04-27T12:08:00Z</dcterms:modified>
</cp:coreProperties>
</file>